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399A" w14:textId="4C34C40F" w:rsidR="004137B9" w:rsidRPr="005A6C0C" w:rsidRDefault="004137B9" w:rsidP="004137B9">
      <w:pPr>
        <w:pStyle w:val="Titre1"/>
        <w:jc w:val="center"/>
        <w:rPr>
          <w:rFonts w:ascii="Times New Roman" w:hAnsi="Times New Roman" w:cs="Times New Roman"/>
          <w:b/>
          <w:bCs/>
          <w:color w:val="000000" w:themeColor="text1"/>
          <w:u w:val="single"/>
        </w:rPr>
      </w:pPr>
      <w:r w:rsidRPr="005A6C0C">
        <w:rPr>
          <w:rFonts w:ascii="Times New Roman" w:hAnsi="Times New Roman" w:cs="Times New Roman"/>
          <w:b/>
          <w:bCs/>
          <w:color w:val="000000" w:themeColor="text1"/>
          <w:u w:val="single"/>
        </w:rPr>
        <w:t>Communiqué</w:t>
      </w:r>
    </w:p>
    <w:p w14:paraId="3329AA50" w14:textId="77777777" w:rsidR="00B57D71" w:rsidRPr="00B57D71" w:rsidRDefault="00B57D71" w:rsidP="00B57D71"/>
    <w:p w14:paraId="7442E993" w14:textId="5CE71D68" w:rsidR="008F5C4B" w:rsidRDefault="004137B9" w:rsidP="00A06CA5">
      <w:pPr>
        <w:jc w:val="both"/>
        <w:rPr>
          <w:rFonts w:ascii="Times New Roman" w:hAnsi="Times New Roman" w:cs="Times New Roman"/>
          <w:sz w:val="20"/>
          <w:szCs w:val="20"/>
        </w:rPr>
      </w:pPr>
      <w:r w:rsidRPr="00A06CA5">
        <w:rPr>
          <w:rFonts w:ascii="Times New Roman" w:hAnsi="Times New Roman" w:cs="Times New Roman"/>
          <w:b/>
          <w:bCs/>
          <w:sz w:val="20"/>
          <w:szCs w:val="20"/>
        </w:rPr>
        <w:t xml:space="preserve">SOFAC STRUCTURED FINANCE (SSF), </w:t>
      </w:r>
      <w:r w:rsidRPr="00A06CA5">
        <w:rPr>
          <w:rFonts w:ascii="Times New Roman" w:hAnsi="Times New Roman" w:cs="Times New Roman"/>
          <w:sz w:val="20"/>
          <w:szCs w:val="20"/>
        </w:rPr>
        <w:t>établissement gestionnaire de Fonds de Placements Collectifs en Titrisation (FPCT), porte à la connaissance du public que l’Autorité Marocaine du Marché des Capitaux (AMMC) a agréé en date du 13/11/2025, sous la référence n</w:t>
      </w:r>
      <w:r w:rsidRPr="00A06CA5">
        <w:rPr>
          <w:rFonts w:ascii="Times New Roman" w:hAnsi="Times New Roman" w:cs="Times New Roman"/>
          <w:b/>
          <w:sz w:val="20"/>
          <w:szCs w:val="20"/>
        </w:rPr>
        <w:t xml:space="preserve">° </w:t>
      </w:r>
      <w:r w:rsidR="001F7FE6" w:rsidRPr="00B57D71">
        <w:rPr>
          <w:rFonts w:ascii="Times New Roman" w:hAnsi="Times New Roman" w:cs="Times New Roman"/>
          <w:b/>
          <w:bCs/>
          <w:sz w:val="20"/>
          <w:szCs w:val="20"/>
          <w:lang w:val="fr-MA"/>
        </w:rPr>
        <w:t>AG/TI/005/</w:t>
      </w:r>
      <w:r w:rsidR="00911BDE" w:rsidRPr="00B57D71">
        <w:rPr>
          <w:rFonts w:ascii="Times New Roman" w:hAnsi="Times New Roman" w:cs="Times New Roman"/>
          <w:b/>
          <w:bCs/>
          <w:sz w:val="20"/>
          <w:szCs w:val="20"/>
          <w:lang w:val="fr-MA"/>
        </w:rPr>
        <w:t>2025</w:t>
      </w:r>
      <w:r w:rsidR="00911BDE">
        <w:rPr>
          <w:rFonts w:ascii="Times New Roman" w:hAnsi="Times New Roman" w:cs="Times New Roman"/>
          <w:b/>
          <w:bCs/>
          <w:sz w:val="20"/>
          <w:szCs w:val="20"/>
          <w:lang w:val="fr-MA"/>
        </w:rPr>
        <w:t>,</w:t>
      </w:r>
      <w:r w:rsidRPr="00A06CA5">
        <w:rPr>
          <w:rFonts w:ascii="Times New Roman" w:hAnsi="Times New Roman" w:cs="Times New Roman"/>
          <w:sz w:val="20"/>
          <w:szCs w:val="20"/>
        </w:rPr>
        <w:t xml:space="preserve"> le règlement de gestion du fonds de titrisation « </w:t>
      </w:r>
      <w:r w:rsidRPr="00A06CA5">
        <w:rPr>
          <w:rFonts w:ascii="Times New Roman" w:hAnsi="Times New Roman" w:cs="Times New Roman"/>
          <w:b/>
          <w:bCs/>
          <w:sz w:val="20"/>
          <w:szCs w:val="20"/>
        </w:rPr>
        <w:t>FT SOFAC AUTO LEASE II</w:t>
      </w:r>
      <w:r w:rsidR="00175567" w:rsidRPr="00A06CA5">
        <w:rPr>
          <w:rFonts w:ascii="Times New Roman" w:hAnsi="Times New Roman" w:cs="Times New Roman"/>
          <w:b/>
          <w:bCs/>
          <w:sz w:val="20"/>
          <w:szCs w:val="20"/>
        </w:rPr>
        <w:t>I</w:t>
      </w:r>
      <w:r w:rsidRPr="00A06CA5">
        <w:rPr>
          <w:rFonts w:ascii="Times New Roman" w:hAnsi="Times New Roman" w:cs="Times New Roman"/>
          <w:sz w:val="20"/>
          <w:szCs w:val="20"/>
        </w:rPr>
        <w:t xml:space="preserve"> » et a visé à cette même date le document d’information dudit fonds, sous la référence n° </w:t>
      </w:r>
      <w:r w:rsidR="001F7FE6" w:rsidRPr="00A06CA5">
        <w:rPr>
          <w:rFonts w:ascii="Times New Roman" w:hAnsi="Times New Roman" w:cs="Times New Roman"/>
          <w:b/>
          <w:sz w:val="20"/>
          <w:szCs w:val="20"/>
        </w:rPr>
        <w:t>VI/TI/006/2025</w:t>
      </w:r>
      <w:r w:rsidRPr="00A06CA5">
        <w:rPr>
          <w:rFonts w:ascii="Times New Roman" w:hAnsi="Times New Roman" w:cs="Times New Roman"/>
          <w:sz w:val="20"/>
          <w:szCs w:val="20"/>
        </w:rPr>
        <w:t xml:space="preserve">. Le fonds « </w:t>
      </w:r>
      <w:r w:rsidRPr="00A06CA5">
        <w:rPr>
          <w:rFonts w:ascii="Times New Roman" w:hAnsi="Times New Roman" w:cs="Times New Roman"/>
          <w:b/>
          <w:bCs/>
          <w:sz w:val="20"/>
          <w:szCs w:val="20"/>
        </w:rPr>
        <w:t xml:space="preserve">FT SOFAC AUTO LEASE </w:t>
      </w:r>
      <w:r w:rsidR="00175567" w:rsidRPr="00A06CA5">
        <w:rPr>
          <w:rFonts w:ascii="Times New Roman" w:hAnsi="Times New Roman" w:cs="Times New Roman"/>
          <w:b/>
          <w:bCs/>
          <w:sz w:val="20"/>
          <w:szCs w:val="20"/>
        </w:rPr>
        <w:t>I</w:t>
      </w:r>
      <w:r w:rsidRPr="00A06CA5">
        <w:rPr>
          <w:rFonts w:ascii="Times New Roman" w:hAnsi="Times New Roman" w:cs="Times New Roman"/>
          <w:b/>
          <w:bCs/>
          <w:sz w:val="20"/>
          <w:szCs w:val="20"/>
        </w:rPr>
        <w:t>II</w:t>
      </w:r>
      <w:r w:rsidRPr="00A06CA5">
        <w:rPr>
          <w:rFonts w:ascii="Times New Roman" w:hAnsi="Times New Roman" w:cs="Times New Roman"/>
          <w:sz w:val="20"/>
          <w:szCs w:val="20"/>
        </w:rPr>
        <w:t xml:space="preserve"> » porte sur la titrisation de créances résultant de </w:t>
      </w:r>
      <w:r w:rsidRPr="00A06CA5">
        <w:rPr>
          <w:rFonts w:ascii="Times New Roman" w:hAnsi="Times New Roman" w:cs="Times New Roman"/>
          <w:b/>
          <w:bCs/>
          <w:sz w:val="20"/>
          <w:szCs w:val="20"/>
        </w:rPr>
        <w:t>contrats de location avec option d'achat (LOA</w:t>
      </w:r>
      <w:r w:rsidRPr="00A06CA5">
        <w:rPr>
          <w:rFonts w:ascii="Times New Roman" w:hAnsi="Times New Roman" w:cs="Times New Roman"/>
          <w:sz w:val="20"/>
          <w:szCs w:val="20"/>
        </w:rPr>
        <w:t xml:space="preserve">) de véhicules à moteur conclus par SOFAC avec ses clients. L’émission, objet du document d’information visé, porte sur </w:t>
      </w:r>
      <w:r w:rsidR="00911BDE">
        <w:rPr>
          <w:rFonts w:ascii="Times New Roman" w:hAnsi="Times New Roman" w:cs="Times New Roman"/>
          <w:sz w:val="20"/>
          <w:szCs w:val="20"/>
        </w:rPr>
        <w:t xml:space="preserve">un plafond du </w:t>
      </w:r>
      <w:r w:rsidRPr="00A06CA5">
        <w:rPr>
          <w:rFonts w:ascii="Times New Roman" w:hAnsi="Times New Roman" w:cs="Times New Roman"/>
          <w:sz w:val="20"/>
          <w:szCs w:val="20"/>
        </w:rPr>
        <w:t xml:space="preserve">montant </w:t>
      </w:r>
      <w:r w:rsidR="005221B3">
        <w:rPr>
          <w:rFonts w:ascii="Times New Roman" w:hAnsi="Times New Roman" w:cs="Times New Roman"/>
          <w:sz w:val="20"/>
          <w:szCs w:val="20"/>
        </w:rPr>
        <w:t xml:space="preserve">total </w:t>
      </w:r>
      <w:r w:rsidRPr="00A06CA5">
        <w:rPr>
          <w:rFonts w:ascii="Times New Roman" w:hAnsi="Times New Roman" w:cs="Times New Roman"/>
          <w:sz w:val="20"/>
          <w:szCs w:val="20"/>
        </w:rPr>
        <w:t xml:space="preserve">de </w:t>
      </w:r>
      <w:r w:rsidR="00175567" w:rsidRPr="00A06CA5">
        <w:rPr>
          <w:rFonts w:ascii="Times New Roman" w:hAnsi="Times New Roman" w:cs="Times New Roman"/>
          <w:b/>
          <w:bCs/>
          <w:sz w:val="20"/>
          <w:szCs w:val="20"/>
        </w:rPr>
        <w:t>1.538.093.336,30 MAD</w:t>
      </w:r>
      <w:r w:rsidRPr="00A06CA5">
        <w:rPr>
          <w:rFonts w:ascii="Times New Roman" w:hAnsi="Times New Roman" w:cs="Times New Roman"/>
          <w:sz w:val="20"/>
          <w:szCs w:val="20"/>
        </w:rPr>
        <w:t>, soit un total émission obligataire</w:t>
      </w:r>
      <w:r w:rsidR="007D0DE4">
        <w:rPr>
          <w:rFonts w:ascii="Times New Roman" w:hAnsi="Times New Roman" w:cs="Times New Roman"/>
          <w:sz w:val="20"/>
          <w:szCs w:val="20"/>
        </w:rPr>
        <w:t xml:space="preserve"> estimatif</w:t>
      </w:r>
      <w:r w:rsidRPr="00A06CA5">
        <w:rPr>
          <w:rFonts w:ascii="Times New Roman" w:hAnsi="Times New Roman" w:cs="Times New Roman"/>
          <w:sz w:val="20"/>
          <w:szCs w:val="20"/>
        </w:rPr>
        <w:t xml:space="preserve"> de </w:t>
      </w:r>
      <w:r w:rsidR="00175567" w:rsidRPr="00A06CA5">
        <w:rPr>
          <w:rFonts w:ascii="Times New Roman" w:hAnsi="Times New Roman" w:cs="Times New Roman"/>
          <w:b/>
          <w:bCs/>
          <w:sz w:val="20"/>
          <w:szCs w:val="20"/>
        </w:rPr>
        <w:t xml:space="preserve">1 .522.000.000,00 MAD </w:t>
      </w:r>
      <w:r w:rsidRPr="00A06CA5">
        <w:rPr>
          <w:rFonts w:ascii="Times New Roman" w:hAnsi="Times New Roman" w:cs="Times New Roman"/>
          <w:sz w:val="20"/>
          <w:szCs w:val="20"/>
        </w:rPr>
        <w:t>et un total émission de parts résiduelles</w:t>
      </w:r>
      <w:r w:rsidR="007D0DE4">
        <w:rPr>
          <w:rFonts w:ascii="Times New Roman" w:hAnsi="Times New Roman" w:cs="Times New Roman"/>
          <w:sz w:val="20"/>
          <w:szCs w:val="20"/>
        </w:rPr>
        <w:t xml:space="preserve"> estimatif</w:t>
      </w:r>
      <w:r w:rsidRPr="00A06CA5">
        <w:rPr>
          <w:rFonts w:ascii="Times New Roman" w:hAnsi="Times New Roman" w:cs="Times New Roman"/>
          <w:sz w:val="20"/>
          <w:szCs w:val="20"/>
        </w:rPr>
        <w:t xml:space="preserve"> de </w:t>
      </w:r>
      <w:r w:rsidR="00175567" w:rsidRPr="00A06CA5">
        <w:rPr>
          <w:rFonts w:ascii="Times New Roman" w:hAnsi="Times New Roman" w:cs="Times New Roman"/>
          <w:b/>
          <w:bCs/>
          <w:sz w:val="20"/>
          <w:szCs w:val="20"/>
        </w:rPr>
        <w:t>16.093.336,30 MAD</w:t>
      </w:r>
      <w:r w:rsidRPr="00A06CA5">
        <w:rPr>
          <w:rFonts w:ascii="Times New Roman" w:hAnsi="Times New Roman" w:cs="Times New Roman"/>
          <w:sz w:val="20"/>
          <w:szCs w:val="20"/>
        </w:rPr>
        <w:t xml:space="preserve">. La cession initiale des créances au fonds aura lieu le </w:t>
      </w:r>
      <w:r w:rsidR="00175567" w:rsidRPr="00A06CA5">
        <w:rPr>
          <w:rFonts w:ascii="Times New Roman" w:hAnsi="Times New Roman" w:cs="Times New Roman"/>
          <w:b/>
          <w:bCs/>
          <w:sz w:val="20"/>
          <w:szCs w:val="20"/>
        </w:rPr>
        <w:t>2</w:t>
      </w:r>
      <w:r w:rsidRPr="00A06CA5">
        <w:rPr>
          <w:rFonts w:ascii="Times New Roman" w:hAnsi="Times New Roman" w:cs="Times New Roman"/>
          <w:b/>
          <w:bCs/>
          <w:sz w:val="20"/>
          <w:szCs w:val="20"/>
        </w:rPr>
        <w:t>7/1</w:t>
      </w:r>
      <w:r w:rsidR="00175567" w:rsidRPr="00A06CA5">
        <w:rPr>
          <w:rFonts w:ascii="Times New Roman" w:hAnsi="Times New Roman" w:cs="Times New Roman"/>
          <w:b/>
          <w:bCs/>
          <w:sz w:val="20"/>
          <w:szCs w:val="20"/>
        </w:rPr>
        <w:t>1</w:t>
      </w:r>
      <w:r w:rsidRPr="00A06CA5">
        <w:rPr>
          <w:rFonts w:ascii="Times New Roman" w:hAnsi="Times New Roman" w:cs="Times New Roman"/>
          <w:b/>
          <w:bCs/>
          <w:sz w:val="20"/>
          <w:szCs w:val="20"/>
        </w:rPr>
        <w:t>/202</w:t>
      </w:r>
      <w:r w:rsidR="00175567" w:rsidRPr="00A06CA5">
        <w:rPr>
          <w:rFonts w:ascii="Times New Roman" w:hAnsi="Times New Roman" w:cs="Times New Roman"/>
          <w:b/>
          <w:bCs/>
          <w:sz w:val="20"/>
          <w:szCs w:val="20"/>
        </w:rPr>
        <w:t>5</w:t>
      </w:r>
      <w:r w:rsidR="00175567" w:rsidRPr="00A06CA5">
        <w:rPr>
          <w:rFonts w:ascii="Times New Roman" w:hAnsi="Times New Roman" w:cs="Times New Roman"/>
          <w:sz w:val="20"/>
          <w:szCs w:val="20"/>
        </w:rPr>
        <w:t xml:space="preserve"> </w:t>
      </w:r>
      <w:r w:rsidRPr="00A06CA5">
        <w:rPr>
          <w:rFonts w:ascii="Times New Roman" w:hAnsi="Times New Roman" w:cs="Times New Roman"/>
          <w:sz w:val="20"/>
          <w:szCs w:val="20"/>
        </w:rPr>
        <w:t xml:space="preserve">et sera financée par le produit de l’émission des obligations réservées aux investisseurs qualifiés de droit marocain et de parts résiduelles souscrites </w:t>
      </w:r>
      <w:r w:rsidR="008F5C4B">
        <w:rPr>
          <w:rFonts w:ascii="Times New Roman" w:hAnsi="Times New Roman" w:cs="Times New Roman"/>
          <w:sz w:val="20"/>
          <w:szCs w:val="20"/>
        </w:rPr>
        <w:t xml:space="preserve">exclusivement </w:t>
      </w:r>
      <w:r w:rsidRPr="00A06CA5">
        <w:rPr>
          <w:rFonts w:ascii="Times New Roman" w:hAnsi="Times New Roman" w:cs="Times New Roman"/>
          <w:sz w:val="20"/>
          <w:szCs w:val="20"/>
        </w:rPr>
        <w:t xml:space="preserve">par </w:t>
      </w:r>
      <w:r w:rsidR="008F5C4B">
        <w:rPr>
          <w:rFonts w:ascii="Times New Roman" w:hAnsi="Times New Roman" w:cs="Times New Roman"/>
          <w:sz w:val="20"/>
          <w:szCs w:val="20"/>
        </w:rPr>
        <w:t xml:space="preserve">l’établissement initiateurs </w:t>
      </w:r>
      <w:r w:rsidR="008F5C4B" w:rsidRPr="00A06CA5">
        <w:rPr>
          <w:rFonts w:ascii="Times New Roman" w:hAnsi="Times New Roman" w:cs="Times New Roman"/>
          <w:sz w:val="20"/>
          <w:szCs w:val="20"/>
        </w:rPr>
        <w:t>SOFAC</w:t>
      </w:r>
      <w:r w:rsidRPr="00A06CA5">
        <w:rPr>
          <w:rFonts w:ascii="Times New Roman" w:hAnsi="Times New Roman" w:cs="Times New Roman"/>
          <w:sz w:val="20"/>
          <w:szCs w:val="20"/>
        </w:rPr>
        <w:t xml:space="preserve">. </w:t>
      </w:r>
    </w:p>
    <w:p w14:paraId="4D6920FC" w14:textId="599CED27" w:rsidR="004137B9" w:rsidRPr="00A06CA5" w:rsidRDefault="004137B9" w:rsidP="00A06CA5">
      <w:pPr>
        <w:jc w:val="both"/>
        <w:rPr>
          <w:rFonts w:ascii="Times New Roman" w:hAnsi="Times New Roman" w:cs="Times New Roman"/>
          <w:sz w:val="20"/>
          <w:szCs w:val="20"/>
        </w:rPr>
      </w:pPr>
      <w:r w:rsidRPr="00A06CA5">
        <w:rPr>
          <w:rFonts w:ascii="Times New Roman" w:hAnsi="Times New Roman" w:cs="Times New Roman"/>
          <w:sz w:val="20"/>
          <w:szCs w:val="20"/>
        </w:rPr>
        <w:t>Les caractéristiques des obligations émises par le Fonds à la date d’émission se présentent comme suit :</w:t>
      </w:r>
    </w:p>
    <w:tbl>
      <w:tblPr>
        <w:tblStyle w:val="Grilledutableau"/>
        <w:tblpPr w:leftFromText="141" w:rightFromText="141" w:vertAnchor="text" w:horzAnchor="margin" w:tblpY="21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1"/>
      </w:tblGrid>
      <w:tr w:rsidR="00F24E77" w:rsidRPr="00A06CA5" w14:paraId="7A594170" w14:textId="77777777" w:rsidTr="008F5C4B">
        <w:tc>
          <w:tcPr>
            <w:tcW w:w="4531" w:type="dxa"/>
            <w:shd w:val="clear" w:color="auto" w:fill="215E99" w:themeFill="text2" w:themeFillTint="BF"/>
            <w:vAlign w:val="center"/>
          </w:tcPr>
          <w:p w14:paraId="6C073140" w14:textId="087D265D" w:rsidR="00F24E77" w:rsidRPr="00F24E77" w:rsidRDefault="00F24E77" w:rsidP="008F5C4B">
            <w:pPr>
              <w:tabs>
                <w:tab w:val="left" w:pos="1530"/>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Catégorie d’</w:t>
            </w:r>
            <w:r w:rsidR="00894F40">
              <w:rPr>
                <w:rFonts w:ascii="Times New Roman" w:hAnsi="Times New Roman" w:cs="Times New Roman"/>
                <w:color w:val="FFFFFF" w:themeColor="background1"/>
                <w:sz w:val="20"/>
                <w:szCs w:val="20"/>
              </w:rPr>
              <w:t>o</w:t>
            </w:r>
            <w:r w:rsidRPr="00F24E77">
              <w:rPr>
                <w:rFonts w:ascii="Times New Roman" w:hAnsi="Times New Roman" w:cs="Times New Roman"/>
                <w:color w:val="FFFFFF" w:themeColor="background1"/>
                <w:sz w:val="20"/>
                <w:szCs w:val="20"/>
              </w:rPr>
              <w:t>bligations</w:t>
            </w:r>
          </w:p>
        </w:tc>
        <w:tc>
          <w:tcPr>
            <w:tcW w:w="4531" w:type="dxa"/>
            <w:vAlign w:val="center"/>
          </w:tcPr>
          <w:p w14:paraId="6AF955B0" w14:textId="6E55043F" w:rsidR="00F24E77" w:rsidRPr="00A06CA5" w:rsidRDefault="00F24E77" w:rsidP="008F5C4B">
            <w:pPr>
              <w:tabs>
                <w:tab w:val="left" w:pos="458"/>
              </w:tabs>
              <w:jc w:val="center"/>
              <w:rPr>
                <w:rFonts w:ascii="Times New Roman" w:hAnsi="Times New Roman" w:cs="Times New Roman"/>
                <w:sz w:val="20"/>
                <w:szCs w:val="20"/>
              </w:rPr>
            </w:pPr>
            <w:r w:rsidRPr="00A06CA5">
              <w:rPr>
                <w:rFonts w:ascii="Times New Roman" w:hAnsi="Times New Roman" w:cs="Times New Roman"/>
                <w:sz w:val="20"/>
                <w:szCs w:val="20"/>
              </w:rPr>
              <w:t>Obligations</w:t>
            </w:r>
          </w:p>
        </w:tc>
      </w:tr>
      <w:tr w:rsidR="00F24E77" w:rsidRPr="00A06CA5" w14:paraId="50F62BE0" w14:textId="77777777" w:rsidTr="008F5C4B">
        <w:tc>
          <w:tcPr>
            <w:tcW w:w="4531" w:type="dxa"/>
            <w:shd w:val="clear" w:color="auto" w:fill="215E99" w:themeFill="text2" w:themeFillTint="BF"/>
            <w:vAlign w:val="center"/>
          </w:tcPr>
          <w:p w14:paraId="4D30534F" w14:textId="40C0E2B9" w:rsidR="00F24E77" w:rsidRPr="00F24E77" w:rsidRDefault="00460D55" w:rsidP="008F5C4B">
            <w:pPr>
              <w:tabs>
                <w:tab w:val="left" w:pos="1530"/>
              </w:tabs>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 xml:space="preserve">Plafond du </w:t>
            </w:r>
            <w:r w:rsidR="008F5C4B">
              <w:rPr>
                <w:rFonts w:ascii="Times New Roman" w:hAnsi="Times New Roman" w:cs="Times New Roman"/>
                <w:color w:val="FFFFFF" w:themeColor="background1"/>
                <w:sz w:val="20"/>
                <w:szCs w:val="20"/>
              </w:rPr>
              <w:t>m</w:t>
            </w:r>
            <w:r w:rsidR="00D243EE" w:rsidRPr="00F24E77">
              <w:rPr>
                <w:rFonts w:ascii="Times New Roman" w:hAnsi="Times New Roman" w:cs="Times New Roman"/>
                <w:color w:val="FFFFFF" w:themeColor="background1"/>
                <w:sz w:val="20"/>
                <w:szCs w:val="20"/>
              </w:rPr>
              <w:t>ontant</w:t>
            </w:r>
            <w:r w:rsidR="00D243EE">
              <w:rPr>
                <w:rFonts w:ascii="Times New Roman" w:hAnsi="Times New Roman" w:cs="Times New Roman"/>
                <w:color w:val="FFFFFF" w:themeColor="background1"/>
                <w:sz w:val="20"/>
                <w:szCs w:val="20"/>
              </w:rPr>
              <w:t xml:space="preserve"> </w:t>
            </w:r>
            <w:r w:rsidR="00D243EE" w:rsidRPr="00F24E77">
              <w:rPr>
                <w:rFonts w:ascii="Times New Roman" w:hAnsi="Times New Roman" w:cs="Times New Roman"/>
                <w:color w:val="FFFFFF" w:themeColor="background1"/>
                <w:sz w:val="20"/>
                <w:szCs w:val="20"/>
              </w:rPr>
              <w:t>total</w:t>
            </w:r>
            <w:r w:rsidR="00F24E77" w:rsidRPr="00F24E77">
              <w:rPr>
                <w:rFonts w:ascii="Times New Roman" w:hAnsi="Times New Roman" w:cs="Times New Roman"/>
                <w:color w:val="FFFFFF" w:themeColor="background1"/>
                <w:sz w:val="20"/>
                <w:szCs w:val="20"/>
              </w:rPr>
              <w:t xml:space="preserve"> de l’émission</w:t>
            </w:r>
            <w:r w:rsidR="008F5C4B">
              <w:rPr>
                <w:rFonts w:ascii="Times New Roman" w:hAnsi="Times New Roman" w:cs="Times New Roman"/>
                <w:color w:val="FFFFFF" w:themeColor="background1"/>
                <w:sz w:val="20"/>
                <w:szCs w:val="20"/>
              </w:rPr>
              <w:t xml:space="preserve"> des Obligations</w:t>
            </w:r>
          </w:p>
        </w:tc>
        <w:tc>
          <w:tcPr>
            <w:tcW w:w="4531" w:type="dxa"/>
            <w:vAlign w:val="center"/>
          </w:tcPr>
          <w:p w14:paraId="51F8CDA6" w14:textId="77777777" w:rsidR="00F24E77" w:rsidRPr="00A06CA5" w:rsidRDefault="00F24E77" w:rsidP="008F5C4B">
            <w:pPr>
              <w:tabs>
                <w:tab w:val="left" w:pos="1530"/>
              </w:tabs>
              <w:jc w:val="center"/>
              <w:rPr>
                <w:rFonts w:ascii="Times New Roman" w:hAnsi="Times New Roman" w:cs="Times New Roman"/>
                <w:sz w:val="20"/>
                <w:szCs w:val="20"/>
              </w:rPr>
            </w:pPr>
            <w:r w:rsidRPr="00A06CA5">
              <w:rPr>
                <w:rFonts w:ascii="Times New Roman" w:hAnsi="Times New Roman" w:cs="Times New Roman"/>
                <w:b/>
                <w:bCs/>
                <w:sz w:val="20"/>
                <w:szCs w:val="20"/>
              </w:rPr>
              <w:t>1 .522.000.000,00 MAD</w:t>
            </w:r>
          </w:p>
        </w:tc>
      </w:tr>
      <w:tr w:rsidR="00F24E77" w:rsidRPr="00A06CA5" w14:paraId="6685BFA7" w14:textId="77777777" w:rsidTr="008F5C4B">
        <w:tc>
          <w:tcPr>
            <w:tcW w:w="4531" w:type="dxa"/>
            <w:shd w:val="clear" w:color="auto" w:fill="215E99" w:themeFill="text2" w:themeFillTint="BF"/>
            <w:vAlign w:val="center"/>
          </w:tcPr>
          <w:p w14:paraId="0EFE10A9" w14:textId="77777777" w:rsidR="00F24E77" w:rsidRPr="00F24E77" w:rsidRDefault="00F24E77" w:rsidP="008F5C4B">
            <w:pPr>
              <w:tabs>
                <w:tab w:val="left" w:pos="1530"/>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Nombre d’obligations</w:t>
            </w:r>
          </w:p>
        </w:tc>
        <w:tc>
          <w:tcPr>
            <w:tcW w:w="4531" w:type="dxa"/>
            <w:vAlign w:val="center"/>
          </w:tcPr>
          <w:p w14:paraId="43D1E688" w14:textId="77777777" w:rsidR="00F24E77" w:rsidRPr="00A06CA5" w:rsidRDefault="00F24E77" w:rsidP="008F5C4B">
            <w:pPr>
              <w:tabs>
                <w:tab w:val="left" w:pos="1530"/>
              </w:tabs>
              <w:jc w:val="center"/>
              <w:rPr>
                <w:rFonts w:ascii="Times New Roman" w:hAnsi="Times New Roman" w:cs="Times New Roman"/>
                <w:b/>
                <w:bCs/>
                <w:sz w:val="20"/>
                <w:szCs w:val="20"/>
              </w:rPr>
            </w:pPr>
            <w:r w:rsidRPr="00A06CA5">
              <w:rPr>
                <w:rFonts w:ascii="Times New Roman" w:hAnsi="Times New Roman" w:cs="Times New Roman"/>
                <w:b/>
                <w:bCs/>
                <w:sz w:val="20"/>
                <w:szCs w:val="20"/>
              </w:rPr>
              <w:t>15.220</w:t>
            </w:r>
          </w:p>
        </w:tc>
      </w:tr>
      <w:tr w:rsidR="00F24E77" w:rsidRPr="00A06CA5" w14:paraId="08C847E1" w14:textId="77777777" w:rsidTr="008F5C4B">
        <w:tc>
          <w:tcPr>
            <w:tcW w:w="4531" w:type="dxa"/>
            <w:shd w:val="clear" w:color="auto" w:fill="215E99" w:themeFill="text2" w:themeFillTint="BF"/>
            <w:vAlign w:val="center"/>
          </w:tcPr>
          <w:p w14:paraId="3416581D" w14:textId="7DEF03A4" w:rsidR="00F24E77" w:rsidRPr="00F24E77" w:rsidRDefault="001E6E2C" w:rsidP="008F5C4B">
            <w:pPr>
              <w:tabs>
                <w:tab w:val="left" w:pos="1530"/>
              </w:tabs>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Montant Unitaire</w:t>
            </w:r>
          </w:p>
        </w:tc>
        <w:tc>
          <w:tcPr>
            <w:tcW w:w="4531" w:type="dxa"/>
            <w:vAlign w:val="center"/>
          </w:tcPr>
          <w:p w14:paraId="583F2055" w14:textId="77777777" w:rsidR="00F24E77" w:rsidRPr="0038243E" w:rsidRDefault="00F24E77" w:rsidP="008F5C4B">
            <w:pPr>
              <w:tabs>
                <w:tab w:val="left" w:pos="1530"/>
              </w:tabs>
              <w:jc w:val="center"/>
              <w:rPr>
                <w:rFonts w:ascii="Times New Roman" w:hAnsi="Times New Roman" w:cs="Times New Roman"/>
                <w:b/>
                <w:bCs/>
                <w:sz w:val="20"/>
                <w:szCs w:val="20"/>
              </w:rPr>
            </w:pPr>
            <w:r w:rsidRPr="0038243E">
              <w:rPr>
                <w:rFonts w:ascii="Times New Roman" w:hAnsi="Times New Roman" w:cs="Times New Roman"/>
                <w:b/>
                <w:bCs/>
                <w:sz w:val="20"/>
                <w:szCs w:val="20"/>
              </w:rPr>
              <w:t>100.000,00</w:t>
            </w:r>
          </w:p>
        </w:tc>
      </w:tr>
      <w:tr w:rsidR="00F24E77" w:rsidRPr="00A06CA5" w14:paraId="19C1CBA1" w14:textId="77777777" w:rsidTr="008F5C4B">
        <w:tc>
          <w:tcPr>
            <w:tcW w:w="4531" w:type="dxa"/>
            <w:shd w:val="clear" w:color="auto" w:fill="215E99" w:themeFill="text2" w:themeFillTint="BF"/>
            <w:vAlign w:val="center"/>
          </w:tcPr>
          <w:p w14:paraId="067A44E7" w14:textId="556B9EB7" w:rsidR="00F24E77" w:rsidRPr="00F24E77" w:rsidRDefault="00F24E77" w:rsidP="008F5C4B">
            <w:pPr>
              <w:tabs>
                <w:tab w:val="center" w:pos="2157"/>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Maturité</w:t>
            </w:r>
            <w:r w:rsidR="00D243EE">
              <w:rPr>
                <w:rFonts w:ascii="Times New Roman" w:hAnsi="Times New Roman" w:cs="Times New Roman"/>
                <w:color w:val="FFFFFF" w:themeColor="background1"/>
                <w:sz w:val="20"/>
                <w:szCs w:val="20"/>
              </w:rPr>
              <w:t xml:space="preserve"> des titres</w:t>
            </w:r>
          </w:p>
        </w:tc>
        <w:tc>
          <w:tcPr>
            <w:tcW w:w="4531" w:type="dxa"/>
            <w:vAlign w:val="center"/>
          </w:tcPr>
          <w:p w14:paraId="1BB2144F" w14:textId="77777777" w:rsidR="00F24E77" w:rsidRPr="00A06CA5" w:rsidRDefault="00F24E77" w:rsidP="008F5C4B">
            <w:pPr>
              <w:tabs>
                <w:tab w:val="left" w:pos="1530"/>
              </w:tabs>
              <w:jc w:val="center"/>
              <w:rPr>
                <w:rFonts w:ascii="Times New Roman" w:hAnsi="Times New Roman" w:cs="Times New Roman"/>
                <w:sz w:val="20"/>
                <w:szCs w:val="20"/>
              </w:rPr>
            </w:pPr>
            <w:r w:rsidRPr="0038243E">
              <w:rPr>
                <w:rFonts w:ascii="Times New Roman" w:hAnsi="Times New Roman" w:cs="Times New Roman"/>
                <w:b/>
                <w:bCs/>
                <w:sz w:val="20"/>
                <w:szCs w:val="20"/>
              </w:rPr>
              <w:t>60</w:t>
            </w:r>
            <w:r>
              <w:rPr>
                <w:rFonts w:ascii="Times New Roman" w:hAnsi="Times New Roman" w:cs="Times New Roman"/>
                <w:sz w:val="20"/>
                <w:szCs w:val="20"/>
              </w:rPr>
              <w:t xml:space="preserve"> </w:t>
            </w:r>
            <w:r w:rsidRPr="008F5C4B">
              <w:rPr>
                <w:rFonts w:ascii="Times New Roman" w:hAnsi="Times New Roman" w:cs="Times New Roman"/>
                <w:b/>
                <w:bCs/>
                <w:sz w:val="20"/>
                <w:szCs w:val="20"/>
              </w:rPr>
              <w:t>mois</w:t>
            </w:r>
          </w:p>
        </w:tc>
      </w:tr>
      <w:tr w:rsidR="00F24E77" w:rsidRPr="00A06CA5" w14:paraId="5AFDC395" w14:textId="77777777" w:rsidTr="008F5C4B">
        <w:tc>
          <w:tcPr>
            <w:tcW w:w="4531" w:type="dxa"/>
            <w:shd w:val="clear" w:color="auto" w:fill="215E99" w:themeFill="text2" w:themeFillTint="BF"/>
            <w:vAlign w:val="center"/>
          </w:tcPr>
          <w:p w14:paraId="3AADAA6B" w14:textId="77777777" w:rsidR="00F24E77" w:rsidRPr="00F24E77" w:rsidRDefault="00F24E77" w:rsidP="008F5C4B">
            <w:pPr>
              <w:tabs>
                <w:tab w:val="left" w:pos="1530"/>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Date de Jouissance</w:t>
            </w:r>
          </w:p>
        </w:tc>
        <w:tc>
          <w:tcPr>
            <w:tcW w:w="4531" w:type="dxa"/>
            <w:vAlign w:val="center"/>
          </w:tcPr>
          <w:p w14:paraId="336F96ED" w14:textId="77777777" w:rsidR="00F24E77" w:rsidRPr="00A06CA5" w:rsidRDefault="00F24E77" w:rsidP="008F5C4B">
            <w:pPr>
              <w:tabs>
                <w:tab w:val="left" w:pos="1530"/>
              </w:tabs>
              <w:jc w:val="center"/>
              <w:rPr>
                <w:rFonts w:ascii="Times New Roman" w:hAnsi="Times New Roman" w:cs="Times New Roman"/>
                <w:sz w:val="20"/>
                <w:szCs w:val="20"/>
              </w:rPr>
            </w:pPr>
            <w:r w:rsidRPr="0038243E">
              <w:rPr>
                <w:rFonts w:ascii="Times New Roman" w:hAnsi="Times New Roman" w:cs="Times New Roman"/>
                <w:b/>
                <w:bCs/>
                <w:sz w:val="20"/>
                <w:szCs w:val="20"/>
              </w:rPr>
              <w:t>27</w:t>
            </w:r>
            <w:r w:rsidRPr="008F5C4B">
              <w:rPr>
                <w:rFonts w:ascii="Times New Roman" w:hAnsi="Times New Roman" w:cs="Times New Roman"/>
                <w:b/>
                <w:bCs/>
                <w:sz w:val="20"/>
                <w:szCs w:val="20"/>
              </w:rPr>
              <w:t xml:space="preserve"> novembre</w:t>
            </w:r>
            <w:r>
              <w:rPr>
                <w:rFonts w:ascii="Times New Roman" w:hAnsi="Times New Roman" w:cs="Times New Roman"/>
                <w:sz w:val="20"/>
                <w:szCs w:val="20"/>
              </w:rPr>
              <w:t xml:space="preserve"> </w:t>
            </w:r>
            <w:r w:rsidRPr="0038243E">
              <w:rPr>
                <w:rFonts w:ascii="Times New Roman" w:hAnsi="Times New Roman" w:cs="Times New Roman"/>
                <w:b/>
                <w:bCs/>
                <w:sz w:val="20"/>
                <w:szCs w:val="20"/>
              </w:rPr>
              <w:t>2025</w:t>
            </w:r>
          </w:p>
        </w:tc>
      </w:tr>
      <w:tr w:rsidR="00F24E77" w:rsidRPr="00A06CA5" w14:paraId="47E43563" w14:textId="77777777" w:rsidTr="008F5C4B">
        <w:tc>
          <w:tcPr>
            <w:tcW w:w="4531" w:type="dxa"/>
            <w:shd w:val="clear" w:color="auto" w:fill="215E99" w:themeFill="text2" w:themeFillTint="BF"/>
            <w:vAlign w:val="center"/>
          </w:tcPr>
          <w:p w14:paraId="544521E4" w14:textId="60AA5713" w:rsidR="00F24E77" w:rsidRPr="00F24E77" w:rsidRDefault="00F24E77" w:rsidP="008F5C4B">
            <w:pPr>
              <w:tabs>
                <w:tab w:val="left" w:pos="1530"/>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Taux d</w:t>
            </w:r>
            <w:r w:rsidR="00D243EE">
              <w:rPr>
                <w:rFonts w:ascii="Times New Roman" w:hAnsi="Times New Roman" w:cs="Times New Roman"/>
                <w:color w:val="FFFFFF" w:themeColor="background1"/>
                <w:sz w:val="20"/>
                <w:szCs w:val="20"/>
              </w:rPr>
              <w:t>’Intérêt Nominal</w:t>
            </w:r>
            <w:r w:rsidR="00D243EE" w:rsidRPr="00F24E77">
              <w:rPr>
                <w:rFonts w:ascii="Times New Roman" w:hAnsi="Times New Roman" w:cs="Times New Roman"/>
                <w:color w:val="FFFFFF" w:themeColor="background1"/>
                <w:sz w:val="20"/>
                <w:szCs w:val="20"/>
              </w:rPr>
              <w:t xml:space="preserve"> </w:t>
            </w:r>
            <w:r w:rsidR="00D243EE">
              <w:rPr>
                <w:rFonts w:ascii="Times New Roman" w:hAnsi="Times New Roman" w:cs="Times New Roman"/>
                <w:color w:val="FFFFFF" w:themeColor="background1"/>
                <w:sz w:val="20"/>
                <w:szCs w:val="20"/>
              </w:rPr>
              <w:t>(</w:t>
            </w:r>
            <w:r w:rsidRPr="00F24E77">
              <w:rPr>
                <w:rFonts w:ascii="Times New Roman" w:hAnsi="Times New Roman" w:cs="Times New Roman"/>
                <w:color w:val="FFFFFF" w:themeColor="background1"/>
                <w:sz w:val="20"/>
                <w:szCs w:val="20"/>
              </w:rPr>
              <w:t>*</w:t>
            </w:r>
            <w:r w:rsidR="00D243EE">
              <w:rPr>
                <w:rFonts w:ascii="Times New Roman" w:hAnsi="Times New Roman" w:cs="Times New Roman"/>
                <w:color w:val="FFFFFF" w:themeColor="background1"/>
                <w:sz w:val="20"/>
                <w:szCs w:val="20"/>
              </w:rPr>
              <w:t>)</w:t>
            </w:r>
          </w:p>
        </w:tc>
        <w:tc>
          <w:tcPr>
            <w:tcW w:w="4531" w:type="dxa"/>
            <w:vAlign w:val="center"/>
          </w:tcPr>
          <w:p w14:paraId="7B31FDD8" w14:textId="58A52682" w:rsidR="00F24E77" w:rsidRPr="00A06CA5" w:rsidRDefault="00381D71" w:rsidP="008F5C4B">
            <w:pPr>
              <w:tabs>
                <w:tab w:val="left" w:pos="1530"/>
              </w:tabs>
              <w:jc w:val="center"/>
              <w:rPr>
                <w:rFonts w:ascii="Times New Roman" w:hAnsi="Times New Roman" w:cs="Times New Roman"/>
                <w:sz w:val="20"/>
                <w:szCs w:val="20"/>
              </w:rPr>
            </w:pPr>
            <w:r w:rsidRPr="00381D71">
              <w:rPr>
                <w:rFonts w:ascii="Times New Roman" w:hAnsi="Times New Roman" w:cs="Times New Roman"/>
                <w:sz w:val="20"/>
                <w:szCs w:val="20"/>
              </w:rPr>
              <w:t>Taux fixe déterminé par référence à la courbe des taux de référence du marché secondaire des Bons du Trésor telle que publiée par Bank Al-Maghrib le 17 novembre 2025, avec une Prime de Risque comprise entre 48 et 58 points de base</w:t>
            </w:r>
            <w:r>
              <w:rPr>
                <w:rFonts w:ascii="Times New Roman" w:hAnsi="Times New Roman" w:cs="Times New Roman"/>
                <w:sz w:val="20"/>
                <w:szCs w:val="20"/>
              </w:rPr>
              <w:t>.</w:t>
            </w:r>
          </w:p>
        </w:tc>
      </w:tr>
      <w:tr w:rsidR="00F24E77" w:rsidRPr="00A06CA5" w14:paraId="01EEFA61" w14:textId="77777777" w:rsidTr="008F5C4B">
        <w:tc>
          <w:tcPr>
            <w:tcW w:w="4531" w:type="dxa"/>
            <w:shd w:val="clear" w:color="auto" w:fill="215E99" w:themeFill="text2" w:themeFillTint="BF"/>
            <w:vAlign w:val="center"/>
          </w:tcPr>
          <w:p w14:paraId="18E102CA" w14:textId="77777777" w:rsidR="00F24E77" w:rsidRPr="00F24E77" w:rsidRDefault="00F24E77" w:rsidP="008F5C4B">
            <w:pPr>
              <w:tabs>
                <w:tab w:val="left" w:pos="1530"/>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Prime de Risque</w:t>
            </w:r>
          </w:p>
        </w:tc>
        <w:tc>
          <w:tcPr>
            <w:tcW w:w="4531" w:type="dxa"/>
            <w:vAlign w:val="center"/>
          </w:tcPr>
          <w:p w14:paraId="0B34C179" w14:textId="77777777" w:rsidR="00F24E77" w:rsidRPr="00A06CA5" w:rsidRDefault="00F24E77" w:rsidP="008F5C4B">
            <w:pPr>
              <w:tabs>
                <w:tab w:val="left" w:pos="1530"/>
              </w:tabs>
              <w:jc w:val="center"/>
              <w:rPr>
                <w:rFonts w:ascii="Times New Roman" w:hAnsi="Times New Roman" w:cs="Times New Roman"/>
                <w:sz w:val="20"/>
                <w:szCs w:val="20"/>
              </w:rPr>
            </w:pPr>
            <w:r>
              <w:rPr>
                <w:rFonts w:ascii="Times New Roman" w:hAnsi="Times New Roman" w:cs="Times New Roman"/>
                <w:sz w:val="20"/>
                <w:szCs w:val="20"/>
              </w:rPr>
              <w:t xml:space="preserve">Entre </w:t>
            </w:r>
            <w:r w:rsidRPr="0038243E">
              <w:rPr>
                <w:rFonts w:ascii="Times New Roman" w:hAnsi="Times New Roman" w:cs="Times New Roman"/>
                <w:b/>
                <w:bCs/>
                <w:sz w:val="20"/>
                <w:szCs w:val="20"/>
              </w:rPr>
              <w:t>48</w:t>
            </w:r>
            <w:r>
              <w:rPr>
                <w:rFonts w:ascii="Times New Roman" w:hAnsi="Times New Roman" w:cs="Times New Roman"/>
                <w:sz w:val="20"/>
                <w:szCs w:val="20"/>
              </w:rPr>
              <w:t xml:space="preserve"> et </w:t>
            </w:r>
            <w:r w:rsidRPr="0038243E">
              <w:rPr>
                <w:rFonts w:ascii="Times New Roman" w:hAnsi="Times New Roman" w:cs="Times New Roman"/>
                <w:b/>
                <w:bCs/>
                <w:sz w:val="20"/>
                <w:szCs w:val="20"/>
              </w:rPr>
              <w:t>58</w:t>
            </w:r>
            <w:r>
              <w:rPr>
                <w:rFonts w:ascii="Times New Roman" w:hAnsi="Times New Roman" w:cs="Times New Roman"/>
                <w:sz w:val="20"/>
                <w:szCs w:val="20"/>
              </w:rPr>
              <w:t xml:space="preserve"> points de base</w:t>
            </w:r>
          </w:p>
        </w:tc>
      </w:tr>
      <w:tr w:rsidR="00F24E77" w:rsidRPr="00A06CA5" w14:paraId="7054FC43" w14:textId="77777777" w:rsidTr="008F5C4B">
        <w:tc>
          <w:tcPr>
            <w:tcW w:w="4531" w:type="dxa"/>
            <w:shd w:val="clear" w:color="auto" w:fill="215E99" w:themeFill="text2" w:themeFillTint="BF"/>
            <w:vAlign w:val="center"/>
          </w:tcPr>
          <w:p w14:paraId="4808104A" w14:textId="77777777" w:rsidR="00F24E77" w:rsidRPr="00F24E77" w:rsidRDefault="00F24E77" w:rsidP="008F5C4B">
            <w:pPr>
              <w:tabs>
                <w:tab w:val="left" w:pos="1530"/>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Méthode d’Allocation</w:t>
            </w:r>
          </w:p>
        </w:tc>
        <w:tc>
          <w:tcPr>
            <w:tcW w:w="4531" w:type="dxa"/>
            <w:vAlign w:val="center"/>
          </w:tcPr>
          <w:p w14:paraId="7865B170" w14:textId="77777777" w:rsidR="00F24E77" w:rsidRPr="00A06CA5" w:rsidRDefault="00F24E77" w:rsidP="008F5C4B">
            <w:pPr>
              <w:tabs>
                <w:tab w:val="left" w:pos="1530"/>
              </w:tabs>
              <w:jc w:val="center"/>
              <w:rPr>
                <w:rFonts w:ascii="Times New Roman" w:hAnsi="Times New Roman" w:cs="Times New Roman"/>
                <w:sz w:val="20"/>
                <w:szCs w:val="20"/>
              </w:rPr>
            </w:pPr>
            <w:r w:rsidRPr="0038243E">
              <w:rPr>
                <w:rFonts w:ascii="Times New Roman" w:hAnsi="Times New Roman" w:cs="Times New Roman"/>
                <w:sz w:val="20"/>
                <w:szCs w:val="20"/>
              </w:rPr>
              <w:t>Adjudication à la française</w:t>
            </w:r>
          </w:p>
        </w:tc>
      </w:tr>
      <w:tr w:rsidR="00F24E77" w:rsidRPr="00A06CA5" w14:paraId="4232ED78" w14:textId="77777777" w:rsidTr="008F5C4B">
        <w:tc>
          <w:tcPr>
            <w:tcW w:w="4531" w:type="dxa"/>
            <w:shd w:val="clear" w:color="auto" w:fill="215E99" w:themeFill="text2" w:themeFillTint="BF"/>
            <w:vAlign w:val="center"/>
          </w:tcPr>
          <w:p w14:paraId="075E89CF" w14:textId="77777777" w:rsidR="00F24E77" w:rsidRPr="00F24E77" w:rsidRDefault="00F24E77" w:rsidP="008F5C4B">
            <w:pPr>
              <w:tabs>
                <w:tab w:val="left" w:pos="1530"/>
              </w:tabs>
              <w:jc w:val="center"/>
              <w:rPr>
                <w:rFonts w:ascii="Times New Roman" w:hAnsi="Times New Roman" w:cs="Times New Roman"/>
                <w:color w:val="FFFFFF" w:themeColor="background1"/>
                <w:sz w:val="20"/>
                <w:szCs w:val="20"/>
              </w:rPr>
            </w:pPr>
            <w:r w:rsidRPr="00F24E77">
              <w:rPr>
                <w:rFonts w:ascii="Times New Roman" w:hAnsi="Times New Roman" w:cs="Times New Roman"/>
                <w:color w:val="FFFFFF" w:themeColor="background1"/>
                <w:sz w:val="20"/>
                <w:szCs w:val="20"/>
              </w:rPr>
              <w:t>Période de Souscription</w:t>
            </w:r>
          </w:p>
        </w:tc>
        <w:tc>
          <w:tcPr>
            <w:tcW w:w="4531" w:type="dxa"/>
            <w:vAlign w:val="center"/>
          </w:tcPr>
          <w:p w14:paraId="50D97A3A" w14:textId="77777777" w:rsidR="00F24E77" w:rsidRPr="00A06CA5" w:rsidRDefault="00F24E77" w:rsidP="008F5C4B">
            <w:pPr>
              <w:tabs>
                <w:tab w:val="left" w:pos="1530"/>
              </w:tabs>
              <w:jc w:val="center"/>
              <w:rPr>
                <w:rFonts w:ascii="Times New Roman" w:hAnsi="Times New Roman" w:cs="Times New Roman"/>
                <w:sz w:val="20"/>
                <w:szCs w:val="20"/>
              </w:rPr>
            </w:pPr>
            <w:r>
              <w:rPr>
                <w:rFonts w:ascii="Times New Roman" w:hAnsi="Times New Roman" w:cs="Times New Roman"/>
                <w:sz w:val="20"/>
                <w:szCs w:val="20"/>
              </w:rPr>
              <w:t xml:space="preserve">Du </w:t>
            </w:r>
            <w:r w:rsidRPr="0038243E">
              <w:rPr>
                <w:rFonts w:ascii="Times New Roman" w:hAnsi="Times New Roman" w:cs="Times New Roman"/>
                <w:b/>
                <w:bCs/>
                <w:sz w:val="20"/>
                <w:szCs w:val="20"/>
              </w:rPr>
              <w:t>20/11/2025</w:t>
            </w:r>
            <w:r>
              <w:rPr>
                <w:rFonts w:ascii="Times New Roman" w:hAnsi="Times New Roman" w:cs="Times New Roman"/>
                <w:sz w:val="20"/>
                <w:szCs w:val="20"/>
              </w:rPr>
              <w:t xml:space="preserve"> au </w:t>
            </w:r>
            <w:r w:rsidRPr="0038243E">
              <w:rPr>
                <w:rFonts w:ascii="Times New Roman" w:hAnsi="Times New Roman" w:cs="Times New Roman"/>
                <w:b/>
                <w:bCs/>
                <w:sz w:val="20"/>
                <w:szCs w:val="20"/>
              </w:rPr>
              <w:t>24/11/2025</w:t>
            </w:r>
          </w:p>
        </w:tc>
      </w:tr>
    </w:tbl>
    <w:p w14:paraId="1793C967" w14:textId="77777777" w:rsidR="00F24E77" w:rsidRDefault="00F24E77" w:rsidP="00F24E77">
      <w:pPr>
        <w:rPr>
          <w:rFonts w:ascii="Times New Roman" w:hAnsi="Times New Roman" w:cs="Times New Roman"/>
          <w:i/>
          <w:iCs/>
          <w:sz w:val="12"/>
          <w:szCs w:val="12"/>
        </w:rPr>
      </w:pPr>
      <w:bookmarkStart w:id="0" w:name="_Hlk213165043"/>
    </w:p>
    <w:p w14:paraId="69C96F91" w14:textId="78C779AD" w:rsidR="00F24E77" w:rsidRDefault="00F24E77" w:rsidP="00F24E77">
      <w:pPr>
        <w:rPr>
          <w:rFonts w:ascii="Times New Roman" w:hAnsi="Times New Roman" w:cs="Times New Roman"/>
          <w:i/>
          <w:iCs/>
          <w:sz w:val="12"/>
          <w:szCs w:val="12"/>
        </w:rPr>
      </w:pPr>
      <w:r w:rsidRPr="00F24E77">
        <w:rPr>
          <w:rFonts w:ascii="Times New Roman" w:hAnsi="Times New Roman" w:cs="Times New Roman"/>
          <w:i/>
          <w:iCs/>
          <w:sz w:val="12"/>
          <w:szCs w:val="12"/>
        </w:rPr>
        <w:t>(*) Le Taux d’Intérêt Nominal des Obligations correspond au taux permettant d’obtenir, pour une obligation, un prix à la date de jouissance égal à 100% de la valeur nominale en actualisant les flux futurs générés par cette obligation aux taux BDT zéro coupon calculés à partir de la courbe des taux de référence du marché secondaire du bons du Trésor telle que publiée par Bank Al-Maghrib le 17 novembre 2025, augmentés de la Prime de Risque comprise entre 48 et 58 points de base</w:t>
      </w:r>
      <w:bookmarkEnd w:id="0"/>
      <w:r w:rsidRPr="00F24E77">
        <w:rPr>
          <w:rFonts w:ascii="Times New Roman" w:hAnsi="Times New Roman" w:cs="Times New Roman"/>
          <w:i/>
          <w:iCs/>
          <w:sz w:val="12"/>
          <w:szCs w:val="12"/>
        </w:rPr>
        <w:t>. La fourchette du Taux d’Intérêt Nominal sera publiée au plus tard un (01) jour ouvré avant l’ouverture de la Période de Souscription. Le Taux d’Intérêt Nominal définitif ainsi que l’échéancier définitif des Obligations émises seront publiés à l’issue de la Période de Souscription.</w:t>
      </w:r>
    </w:p>
    <w:p w14:paraId="18F13CE5" w14:textId="77777777" w:rsidR="00F24E77" w:rsidRPr="00F24E77" w:rsidRDefault="00F24E77" w:rsidP="00F24E77">
      <w:pPr>
        <w:rPr>
          <w:rFonts w:ascii="Times New Roman" w:hAnsi="Times New Roman" w:cs="Times New Roman"/>
          <w:i/>
          <w:iCs/>
          <w:sz w:val="12"/>
          <w:szCs w:val="12"/>
        </w:rPr>
      </w:pPr>
    </w:p>
    <w:p w14:paraId="0B4A3878" w14:textId="75F1701E" w:rsidR="00F24E77" w:rsidRDefault="00F24E77" w:rsidP="004137B9">
      <w:pPr>
        <w:rPr>
          <w:rFonts w:ascii="Times New Roman" w:hAnsi="Times New Roman" w:cs="Times New Roman"/>
          <w:sz w:val="20"/>
          <w:szCs w:val="20"/>
        </w:rPr>
      </w:pPr>
      <w:r w:rsidRPr="00F24E77">
        <w:rPr>
          <w:rFonts w:ascii="Times New Roman" w:hAnsi="Times New Roman" w:cs="Times New Roman"/>
          <w:sz w:val="20"/>
          <w:szCs w:val="20"/>
        </w:rPr>
        <w:t xml:space="preserve">Le </w:t>
      </w:r>
      <w:r>
        <w:rPr>
          <w:rFonts w:ascii="Times New Roman" w:hAnsi="Times New Roman" w:cs="Times New Roman"/>
          <w:sz w:val="20"/>
          <w:szCs w:val="20"/>
        </w:rPr>
        <w:t>D</w:t>
      </w:r>
      <w:r w:rsidRPr="00F24E77">
        <w:rPr>
          <w:rFonts w:ascii="Times New Roman" w:hAnsi="Times New Roman" w:cs="Times New Roman"/>
          <w:sz w:val="20"/>
          <w:szCs w:val="20"/>
        </w:rPr>
        <w:t>ocument d’</w:t>
      </w:r>
      <w:r>
        <w:rPr>
          <w:rFonts w:ascii="Times New Roman" w:hAnsi="Times New Roman" w:cs="Times New Roman"/>
          <w:sz w:val="20"/>
          <w:szCs w:val="20"/>
        </w:rPr>
        <w:t>I</w:t>
      </w:r>
      <w:r w:rsidRPr="00F24E77">
        <w:rPr>
          <w:rFonts w:ascii="Times New Roman" w:hAnsi="Times New Roman" w:cs="Times New Roman"/>
          <w:sz w:val="20"/>
          <w:szCs w:val="20"/>
        </w:rPr>
        <w:t>nformation de l’opération est disponible :</w:t>
      </w:r>
    </w:p>
    <w:p w14:paraId="73A920D3" w14:textId="5F4068B2" w:rsidR="00F24E77" w:rsidRDefault="00F24E77" w:rsidP="004137B9">
      <w:pPr>
        <w:rPr>
          <w:rFonts w:ascii="Times New Roman" w:hAnsi="Times New Roman" w:cs="Times New Roman"/>
          <w:sz w:val="20"/>
          <w:szCs w:val="20"/>
        </w:rPr>
      </w:pPr>
      <w:r w:rsidRPr="00F24E77">
        <w:rPr>
          <w:rFonts w:ascii="Times New Roman" w:hAnsi="Times New Roman" w:cs="Times New Roman"/>
          <w:sz w:val="20"/>
          <w:szCs w:val="20"/>
        </w:rPr>
        <w:t xml:space="preserve"> ▪ au siège de </w:t>
      </w:r>
      <w:r w:rsidR="00582255" w:rsidRPr="00F24E77">
        <w:rPr>
          <w:rFonts w:ascii="Times New Roman" w:hAnsi="Times New Roman" w:cs="Times New Roman"/>
          <w:sz w:val="20"/>
          <w:szCs w:val="20"/>
        </w:rPr>
        <w:t>l’</w:t>
      </w:r>
      <w:r w:rsidR="00582255">
        <w:rPr>
          <w:rFonts w:ascii="Times New Roman" w:hAnsi="Times New Roman" w:cs="Times New Roman"/>
          <w:sz w:val="20"/>
          <w:szCs w:val="20"/>
        </w:rPr>
        <w:t xml:space="preserve">établissement gestionnaire </w:t>
      </w:r>
      <w:r w:rsidRPr="00F24E77">
        <w:rPr>
          <w:rFonts w:ascii="Times New Roman" w:hAnsi="Times New Roman" w:cs="Times New Roman"/>
          <w:b/>
          <w:bCs/>
          <w:sz w:val="20"/>
          <w:szCs w:val="20"/>
        </w:rPr>
        <w:t>SOFAC STRUCTURED FINANCE</w:t>
      </w:r>
      <w:r w:rsidRPr="00F24E77">
        <w:rPr>
          <w:rFonts w:ascii="Times New Roman" w:hAnsi="Times New Roman" w:cs="Times New Roman"/>
          <w:sz w:val="20"/>
          <w:szCs w:val="20"/>
        </w:rPr>
        <w:t xml:space="preserve"> ;</w:t>
      </w:r>
    </w:p>
    <w:p w14:paraId="70F767AD" w14:textId="13401EDB" w:rsidR="00F24E77" w:rsidRDefault="00F24E77" w:rsidP="004137B9">
      <w:pPr>
        <w:rPr>
          <w:rFonts w:ascii="Times New Roman" w:hAnsi="Times New Roman" w:cs="Times New Roman"/>
          <w:sz w:val="20"/>
          <w:szCs w:val="20"/>
        </w:rPr>
      </w:pPr>
      <w:r w:rsidRPr="00F24E77">
        <w:rPr>
          <w:rFonts w:ascii="Times New Roman" w:hAnsi="Times New Roman" w:cs="Times New Roman"/>
          <w:sz w:val="20"/>
          <w:szCs w:val="20"/>
        </w:rPr>
        <w:t xml:space="preserve"> ▪ au siège de l’</w:t>
      </w:r>
      <w:r w:rsidR="00582255">
        <w:rPr>
          <w:rFonts w:ascii="Times New Roman" w:hAnsi="Times New Roman" w:cs="Times New Roman"/>
          <w:sz w:val="20"/>
          <w:szCs w:val="20"/>
        </w:rPr>
        <w:t xml:space="preserve">établissement </w:t>
      </w:r>
      <w:r w:rsidRPr="00F24E77">
        <w:rPr>
          <w:rFonts w:ascii="Times New Roman" w:hAnsi="Times New Roman" w:cs="Times New Roman"/>
          <w:sz w:val="20"/>
          <w:szCs w:val="20"/>
        </w:rPr>
        <w:t xml:space="preserve">initiateur </w:t>
      </w:r>
      <w:r w:rsidRPr="00F24E77">
        <w:rPr>
          <w:rFonts w:ascii="Times New Roman" w:hAnsi="Times New Roman" w:cs="Times New Roman"/>
          <w:b/>
          <w:bCs/>
          <w:sz w:val="20"/>
          <w:szCs w:val="20"/>
        </w:rPr>
        <w:t>SOFAC</w:t>
      </w:r>
      <w:r w:rsidRPr="00F24E77">
        <w:rPr>
          <w:rFonts w:ascii="Times New Roman" w:hAnsi="Times New Roman" w:cs="Times New Roman"/>
          <w:sz w:val="20"/>
          <w:szCs w:val="20"/>
        </w:rPr>
        <w:t xml:space="preserve"> ; </w:t>
      </w:r>
    </w:p>
    <w:p w14:paraId="2547147C" w14:textId="4A671E04" w:rsidR="00F24E77" w:rsidRDefault="00F24E77" w:rsidP="004137B9">
      <w:pPr>
        <w:rPr>
          <w:rFonts w:ascii="Times New Roman" w:hAnsi="Times New Roman" w:cs="Times New Roman"/>
          <w:sz w:val="20"/>
          <w:szCs w:val="20"/>
        </w:rPr>
      </w:pPr>
      <w:r w:rsidRPr="00F24E77">
        <w:rPr>
          <w:rFonts w:ascii="Times New Roman" w:hAnsi="Times New Roman" w:cs="Times New Roman"/>
          <w:sz w:val="20"/>
          <w:szCs w:val="20"/>
        </w:rPr>
        <w:t>▪ sur le site internet de l’</w:t>
      </w:r>
      <w:r w:rsidRPr="00F24E77">
        <w:rPr>
          <w:rFonts w:ascii="Times New Roman" w:hAnsi="Times New Roman" w:cs="Times New Roman"/>
          <w:b/>
          <w:bCs/>
          <w:sz w:val="20"/>
          <w:szCs w:val="20"/>
        </w:rPr>
        <w:t>AMMC</w:t>
      </w:r>
      <w:r w:rsidRPr="00F24E77">
        <w:rPr>
          <w:rFonts w:ascii="Times New Roman" w:hAnsi="Times New Roman" w:cs="Times New Roman"/>
          <w:sz w:val="20"/>
          <w:szCs w:val="20"/>
        </w:rPr>
        <w:t xml:space="preserve"> ; </w:t>
      </w:r>
    </w:p>
    <w:p w14:paraId="46AC4C3D" w14:textId="77777777" w:rsidR="00F24E77" w:rsidRDefault="00F24E77" w:rsidP="004137B9">
      <w:pPr>
        <w:rPr>
          <w:rFonts w:ascii="Times New Roman" w:hAnsi="Times New Roman" w:cs="Times New Roman"/>
          <w:sz w:val="20"/>
          <w:szCs w:val="20"/>
        </w:rPr>
      </w:pPr>
      <w:r w:rsidRPr="00F24E77">
        <w:rPr>
          <w:rFonts w:ascii="Times New Roman" w:hAnsi="Times New Roman" w:cs="Times New Roman"/>
          <w:sz w:val="20"/>
          <w:szCs w:val="20"/>
        </w:rPr>
        <w:t xml:space="preserve">▪ sur le site internet de </w:t>
      </w:r>
      <w:r w:rsidRPr="00F24E77">
        <w:rPr>
          <w:rFonts w:ascii="Times New Roman" w:hAnsi="Times New Roman" w:cs="Times New Roman"/>
          <w:b/>
          <w:bCs/>
          <w:sz w:val="20"/>
          <w:szCs w:val="20"/>
        </w:rPr>
        <w:t>SOFAC STRUCTURED FINANCE</w:t>
      </w:r>
      <w:r w:rsidRPr="00F24E77">
        <w:rPr>
          <w:rFonts w:ascii="Times New Roman" w:hAnsi="Times New Roman" w:cs="Times New Roman"/>
          <w:sz w:val="20"/>
          <w:szCs w:val="20"/>
        </w:rPr>
        <w:t>.</w:t>
      </w:r>
    </w:p>
    <w:p w14:paraId="675764AF" w14:textId="77777777" w:rsidR="00AE06F9" w:rsidRDefault="00AE06F9" w:rsidP="004137B9">
      <w:pPr>
        <w:rPr>
          <w:rFonts w:ascii="Times New Roman" w:hAnsi="Times New Roman" w:cs="Times New Roman"/>
          <w:sz w:val="20"/>
          <w:szCs w:val="20"/>
        </w:rPr>
      </w:pPr>
    </w:p>
    <w:p w14:paraId="08C338C8" w14:textId="48AB8276" w:rsidR="004137B9" w:rsidRDefault="00F24E77" w:rsidP="00AE06F9">
      <w:pPr>
        <w:jc w:val="both"/>
        <w:rPr>
          <w:rFonts w:ascii="Times New Roman" w:hAnsi="Times New Roman" w:cs="Times New Roman"/>
          <w:sz w:val="20"/>
          <w:szCs w:val="20"/>
        </w:rPr>
      </w:pPr>
      <w:r w:rsidRPr="00F24E77">
        <w:rPr>
          <w:rFonts w:ascii="Times New Roman" w:hAnsi="Times New Roman" w:cs="Times New Roman"/>
          <w:sz w:val="20"/>
          <w:szCs w:val="20"/>
        </w:rPr>
        <w:t xml:space="preserve"> Un extrait dudit </w:t>
      </w:r>
      <w:r w:rsidR="00582255">
        <w:rPr>
          <w:rFonts w:ascii="Times New Roman" w:hAnsi="Times New Roman" w:cs="Times New Roman"/>
          <w:sz w:val="20"/>
          <w:szCs w:val="20"/>
        </w:rPr>
        <w:t>D</w:t>
      </w:r>
      <w:r w:rsidRPr="00F24E77">
        <w:rPr>
          <w:rFonts w:ascii="Times New Roman" w:hAnsi="Times New Roman" w:cs="Times New Roman"/>
          <w:sz w:val="20"/>
          <w:szCs w:val="20"/>
        </w:rPr>
        <w:t>ocument d’</w:t>
      </w:r>
      <w:r w:rsidR="00582255">
        <w:rPr>
          <w:rFonts w:ascii="Times New Roman" w:hAnsi="Times New Roman" w:cs="Times New Roman"/>
          <w:sz w:val="20"/>
          <w:szCs w:val="20"/>
        </w:rPr>
        <w:t>I</w:t>
      </w:r>
      <w:r w:rsidRPr="00F24E77">
        <w:rPr>
          <w:rFonts w:ascii="Times New Roman" w:hAnsi="Times New Roman" w:cs="Times New Roman"/>
          <w:sz w:val="20"/>
          <w:szCs w:val="20"/>
        </w:rPr>
        <w:t xml:space="preserve">nformation est également disponible sur le site internet de </w:t>
      </w:r>
      <w:r w:rsidRPr="00F24E77">
        <w:rPr>
          <w:rFonts w:ascii="Times New Roman" w:hAnsi="Times New Roman" w:cs="Times New Roman"/>
          <w:b/>
          <w:bCs/>
          <w:sz w:val="20"/>
          <w:szCs w:val="20"/>
        </w:rPr>
        <w:t>SOFAC</w:t>
      </w:r>
      <w:r w:rsidRPr="00F24E77">
        <w:rPr>
          <w:rFonts w:ascii="Times New Roman" w:hAnsi="Times New Roman" w:cs="Times New Roman"/>
          <w:sz w:val="20"/>
          <w:szCs w:val="20"/>
        </w:rPr>
        <w:t xml:space="preserve"> </w:t>
      </w:r>
      <w:r w:rsidRPr="00F24E77">
        <w:rPr>
          <w:rFonts w:ascii="Times New Roman" w:hAnsi="Times New Roman" w:cs="Times New Roman"/>
          <w:b/>
          <w:bCs/>
          <w:sz w:val="20"/>
          <w:szCs w:val="20"/>
        </w:rPr>
        <w:t>STRUCTURED FINANCE</w:t>
      </w:r>
      <w:r w:rsidRPr="00F24E77">
        <w:rPr>
          <w:rFonts w:ascii="Times New Roman" w:hAnsi="Times New Roman" w:cs="Times New Roman"/>
          <w:sz w:val="20"/>
          <w:szCs w:val="20"/>
        </w:rPr>
        <w:t xml:space="preserve"> en suivant le lien ci-après :</w:t>
      </w:r>
    </w:p>
    <w:p w14:paraId="7A96AA43" w14:textId="77777777" w:rsidR="005A6C0C" w:rsidRPr="005A6C0C" w:rsidRDefault="005A6C0C" w:rsidP="005A6C0C">
      <w:pPr>
        <w:jc w:val="both"/>
        <w:rPr>
          <w:rFonts w:ascii="Times New Roman" w:hAnsi="Times New Roman" w:cs="Times New Roman"/>
          <w:color w:val="000000" w:themeColor="text1"/>
          <w:sz w:val="20"/>
          <w:szCs w:val="20"/>
        </w:rPr>
      </w:pPr>
      <w:hyperlink r:id="rId6" w:history="1">
        <w:r w:rsidRPr="005A6C0C">
          <w:rPr>
            <w:rStyle w:val="Lienhypertexte"/>
            <w:rFonts w:ascii="Times New Roman" w:hAnsi="Times New Roman" w:cs="Times New Roman"/>
            <w:color w:val="000000" w:themeColor="text1"/>
            <w:sz w:val="20"/>
            <w:szCs w:val="20"/>
          </w:rPr>
          <w:t>https://ssf.ma/fond/ft-sofac-auto-lease-iii/</w:t>
        </w:r>
      </w:hyperlink>
    </w:p>
    <w:p w14:paraId="79F99A8C" w14:textId="7F00126F" w:rsidR="004137B9" w:rsidRPr="004C3499" w:rsidRDefault="004137B9" w:rsidP="004137B9">
      <w:pPr>
        <w:tabs>
          <w:tab w:val="left" w:pos="1530"/>
        </w:tabs>
        <w:rPr>
          <w:rFonts w:ascii="Times New Roman" w:hAnsi="Times New Roman" w:cs="Times New Roman"/>
        </w:rPr>
      </w:pPr>
    </w:p>
    <w:sectPr w:rsidR="004137B9" w:rsidRPr="004C34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6934" w14:textId="77777777" w:rsidR="00407776" w:rsidRDefault="00407776" w:rsidP="004137B9">
      <w:pPr>
        <w:spacing w:after="0" w:line="240" w:lineRule="auto"/>
      </w:pPr>
      <w:r>
        <w:separator/>
      </w:r>
    </w:p>
  </w:endnote>
  <w:endnote w:type="continuationSeparator" w:id="0">
    <w:p w14:paraId="37D7825F" w14:textId="77777777" w:rsidR="00407776" w:rsidRDefault="00407776" w:rsidP="0041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B239" w14:textId="77777777" w:rsidR="00407776" w:rsidRDefault="00407776" w:rsidP="004137B9">
      <w:pPr>
        <w:spacing w:after="0" w:line="240" w:lineRule="auto"/>
      </w:pPr>
      <w:r>
        <w:separator/>
      </w:r>
    </w:p>
  </w:footnote>
  <w:footnote w:type="continuationSeparator" w:id="0">
    <w:p w14:paraId="55B0DF6D" w14:textId="77777777" w:rsidR="00407776" w:rsidRDefault="00407776" w:rsidP="00413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4CAB" w14:textId="2600087E" w:rsidR="004137B9" w:rsidRDefault="004137B9">
    <w:pPr>
      <w:pStyle w:val="En-tte"/>
    </w:pPr>
    <w:r>
      <w:rPr>
        <w:noProof/>
      </w:rPr>
      <w:drawing>
        <wp:anchor distT="0" distB="0" distL="114300" distR="114300" simplePos="0" relativeHeight="251661312" behindDoc="1" locked="0" layoutInCell="1" allowOverlap="1" wp14:anchorId="566B68B3" wp14:editId="17BCC603">
          <wp:simplePos x="0" y="0"/>
          <wp:positionH relativeFrom="column">
            <wp:posOffset>-871220</wp:posOffset>
          </wp:positionH>
          <wp:positionV relativeFrom="paragraph">
            <wp:posOffset>-449580</wp:posOffset>
          </wp:positionV>
          <wp:extent cx="1228725" cy="789940"/>
          <wp:effectExtent l="0" t="0" r="9525" b="0"/>
          <wp:wrapTight wrapText="bothSides">
            <wp:wrapPolygon edited="0">
              <wp:start x="0" y="0"/>
              <wp:lineTo x="0" y="20836"/>
              <wp:lineTo x="21433" y="20836"/>
              <wp:lineTo x="21433" y="0"/>
              <wp:lineTo x="0" y="0"/>
            </wp:wrapPolygon>
          </wp:wrapTight>
          <wp:docPr id="567919875" name="Image 1"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19875" name="Image 1" descr="Une image contenant Police, logo, Graphique,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8725" cy="789940"/>
                  </a:xfrm>
                  <a:prstGeom prst="rect">
                    <a:avLst/>
                  </a:prstGeom>
                </pic:spPr>
              </pic:pic>
            </a:graphicData>
          </a:graphic>
          <wp14:sizeRelH relativeFrom="margin">
            <wp14:pctWidth>0</wp14:pctWidth>
          </wp14:sizeRelH>
          <wp14:sizeRelV relativeFrom="margin">
            <wp14:pctHeight>0</wp14:pctHeight>
          </wp14:sizeRelV>
        </wp:anchor>
      </w:drawing>
    </w:r>
    <w:r w:rsidRPr="00834F1E">
      <w:rPr>
        <w:rFonts w:ascii="Times New Roman" w:eastAsia="Aptos" w:hAnsi="Times New Roman" w:cs="Times New Roman"/>
        <w:noProof/>
        <w:color w:val="000000" w:themeColor="text1"/>
        <w:sz w:val="15"/>
        <w:szCs w:val="15"/>
        <w:lang w:val="fr-MA" w:eastAsia="fr-MA"/>
      </w:rPr>
      <w:drawing>
        <wp:anchor distT="0" distB="0" distL="114300" distR="114300" simplePos="0" relativeHeight="251662336" behindDoc="1" locked="0" layoutInCell="1" allowOverlap="1" wp14:anchorId="1B732B95" wp14:editId="6A52844A">
          <wp:simplePos x="0" y="0"/>
          <wp:positionH relativeFrom="page">
            <wp:posOffset>5528310</wp:posOffset>
          </wp:positionH>
          <wp:positionV relativeFrom="paragraph">
            <wp:posOffset>-421005</wp:posOffset>
          </wp:positionV>
          <wp:extent cx="2004695" cy="571500"/>
          <wp:effectExtent l="0" t="0" r="0" b="0"/>
          <wp:wrapTight wrapText="bothSides">
            <wp:wrapPolygon edited="0">
              <wp:start x="0" y="0"/>
              <wp:lineTo x="0" y="20880"/>
              <wp:lineTo x="21347" y="20880"/>
              <wp:lineTo x="21347" y="0"/>
              <wp:lineTo x="0" y="0"/>
            </wp:wrapPolygon>
          </wp:wrapTight>
          <wp:docPr id="1271583423" name="Image 1271583423" descr="C:\Users\azouhal\Pictures\so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ouhal\Pictures\sofac.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469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B9"/>
    <w:rsid w:val="001728F9"/>
    <w:rsid w:val="00175567"/>
    <w:rsid w:val="001E6E2C"/>
    <w:rsid w:val="001F7FE6"/>
    <w:rsid w:val="00272326"/>
    <w:rsid w:val="0030095F"/>
    <w:rsid w:val="00381D71"/>
    <w:rsid w:val="0038243E"/>
    <w:rsid w:val="00407776"/>
    <w:rsid w:val="004137B9"/>
    <w:rsid w:val="00415D78"/>
    <w:rsid w:val="00460D55"/>
    <w:rsid w:val="004C3499"/>
    <w:rsid w:val="005221B3"/>
    <w:rsid w:val="00582255"/>
    <w:rsid w:val="005A6C0C"/>
    <w:rsid w:val="007D0DE4"/>
    <w:rsid w:val="007F674E"/>
    <w:rsid w:val="00894F40"/>
    <w:rsid w:val="008F395D"/>
    <w:rsid w:val="008F5C4B"/>
    <w:rsid w:val="00911BDE"/>
    <w:rsid w:val="00A06CA5"/>
    <w:rsid w:val="00AB7C54"/>
    <w:rsid w:val="00AE06F9"/>
    <w:rsid w:val="00B37B7B"/>
    <w:rsid w:val="00B43CA8"/>
    <w:rsid w:val="00B57D71"/>
    <w:rsid w:val="00C95D17"/>
    <w:rsid w:val="00D243EE"/>
    <w:rsid w:val="00D6274D"/>
    <w:rsid w:val="00F24E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E48"/>
  <w15:chartTrackingRefBased/>
  <w15:docId w15:val="{7B2D0046-E92D-4C9C-B74D-E72A2D95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3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3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37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37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37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37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37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37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37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37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37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37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37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37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37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37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37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37B9"/>
    <w:rPr>
      <w:rFonts w:eastAsiaTheme="majorEastAsia" w:cstheme="majorBidi"/>
      <w:color w:val="272727" w:themeColor="text1" w:themeTint="D8"/>
    </w:rPr>
  </w:style>
  <w:style w:type="paragraph" w:styleId="Titre">
    <w:name w:val="Title"/>
    <w:basedOn w:val="Normal"/>
    <w:next w:val="Normal"/>
    <w:link w:val="TitreCar"/>
    <w:uiPriority w:val="10"/>
    <w:qFormat/>
    <w:rsid w:val="00413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37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37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37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37B9"/>
    <w:pPr>
      <w:spacing w:before="160"/>
      <w:jc w:val="center"/>
    </w:pPr>
    <w:rPr>
      <w:i/>
      <w:iCs/>
      <w:color w:val="404040" w:themeColor="text1" w:themeTint="BF"/>
    </w:rPr>
  </w:style>
  <w:style w:type="character" w:customStyle="1" w:styleId="CitationCar">
    <w:name w:val="Citation Car"/>
    <w:basedOn w:val="Policepardfaut"/>
    <w:link w:val="Citation"/>
    <w:uiPriority w:val="29"/>
    <w:rsid w:val="004137B9"/>
    <w:rPr>
      <w:i/>
      <w:iCs/>
      <w:color w:val="404040" w:themeColor="text1" w:themeTint="BF"/>
    </w:rPr>
  </w:style>
  <w:style w:type="paragraph" w:styleId="Paragraphedeliste">
    <w:name w:val="List Paragraph"/>
    <w:basedOn w:val="Normal"/>
    <w:uiPriority w:val="34"/>
    <w:qFormat/>
    <w:rsid w:val="004137B9"/>
    <w:pPr>
      <w:ind w:left="720"/>
      <w:contextualSpacing/>
    </w:pPr>
  </w:style>
  <w:style w:type="character" w:styleId="Accentuationintense">
    <w:name w:val="Intense Emphasis"/>
    <w:basedOn w:val="Policepardfaut"/>
    <w:uiPriority w:val="21"/>
    <w:qFormat/>
    <w:rsid w:val="004137B9"/>
    <w:rPr>
      <w:i/>
      <w:iCs/>
      <w:color w:val="0F4761" w:themeColor="accent1" w:themeShade="BF"/>
    </w:rPr>
  </w:style>
  <w:style w:type="paragraph" w:styleId="Citationintense">
    <w:name w:val="Intense Quote"/>
    <w:basedOn w:val="Normal"/>
    <w:next w:val="Normal"/>
    <w:link w:val="CitationintenseCar"/>
    <w:uiPriority w:val="30"/>
    <w:qFormat/>
    <w:rsid w:val="00413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37B9"/>
    <w:rPr>
      <w:i/>
      <w:iCs/>
      <w:color w:val="0F4761" w:themeColor="accent1" w:themeShade="BF"/>
    </w:rPr>
  </w:style>
  <w:style w:type="character" w:styleId="Rfrenceintense">
    <w:name w:val="Intense Reference"/>
    <w:basedOn w:val="Policepardfaut"/>
    <w:uiPriority w:val="32"/>
    <w:qFormat/>
    <w:rsid w:val="004137B9"/>
    <w:rPr>
      <w:b/>
      <w:bCs/>
      <w:smallCaps/>
      <w:color w:val="0F4761" w:themeColor="accent1" w:themeShade="BF"/>
      <w:spacing w:val="5"/>
    </w:rPr>
  </w:style>
  <w:style w:type="paragraph" w:styleId="En-tte">
    <w:name w:val="header"/>
    <w:basedOn w:val="Normal"/>
    <w:link w:val="En-tteCar"/>
    <w:uiPriority w:val="99"/>
    <w:unhideWhenUsed/>
    <w:rsid w:val="004137B9"/>
    <w:pPr>
      <w:tabs>
        <w:tab w:val="center" w:pos="4536"/>
        <w:tab w:val="right" w:pos="9072"/>
      </w:tabs>
      <w:spacing w:after="0" w:line="240" w:lineRule="auto"/>
    </w:pPr>
  </w:style>
  <w:style w:type="character" w:customStyle="1" w:styleId="En-tteCar">
    <w:name w:val="En-tête Car"/>
    <w:basedOn w:val="Policepardfaut"/>
    <w:link w:val="En-tte"/>
    <w:uiPriority w:val="99"/>
    <w:rsid w:val="004137B9"/>
  </w:style>
  <w:style w:type="paragraph" w:styleId="Pieddepage">
    <w:name w:val="footer"/>
    <w:basedOn w:val="Normal"/>
    <w:link w:val="PieddepageCar"/>
    <w:uiPriority w:val="99"/>
    <w:unhideWhenUsed/>
    <w:rsid w:val="00413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37B9"/>
  </w:style>
  <w:style w:type="table" w:styleId="Grilledutableau">
    <w:name w:val="Table Grid"/>
    <w:basedOn w:val="TableauNormal"/>
    <w:uiPriority w:val="39"/>
    <w:rsid w:val="00A0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A6C0C"/>
    <w:rPr>
      <w:color w:val="467886" w:themeColor="hyperlink"/>
      <w:u w:val="single"/>
    </w:rPr>
  </w:style>
  <w:style w:type="character" w:styleId="Mentionnonrsolue">
    <w:name w:val="Unresolved Mention"/>
    <w:basedOn w:val="Policepardfaut"/>
    <w:uiPriority w:val="99"/>
    <w:semiHidden/>
    <w:unhideWhenUsed/>
    <w:rsid w:val="005A6C0C"/>
    <w:rPr>
      <w:color w:val="605E5C"/>
      <w:shd w:val="clear" w:color="auto" w:fill="E1DFDD"/>
    </w:rPr>
  </w:style>
  <w:style w:type="character" w:styleId="Lienhypertextesuivivisit">
    <w:name w:val="FollowedHyperlink"/>
    <w:basedOn w:val="Policepardfaut"/>
    <w:uiPriority w:val="99"/>
    <w:semiHidden/>
    <w:unhideWhenUsed/>
    <w:rsid w:val="00C95D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f.ma/fond/ft-sofac-auto-lease-ii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2731</Characters>
  <Application>Microsoft Office Word</Application>
  <DocSecurity>4</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  BELMOUDEN</dc:creator>
  <cp:keywords/>
  <dc:description/>
  <cp:lastModifiedBy>HAJAR OUAKIL</cp:lastModifiedBy>
  <cp:revision>2</cp:revision>
  <dcterms:created xsi:type="dcterms:W3CDTF">2025-11-14T17:52:00Z</dcterms:created>
  <dcterms:modified xsi:type="dcterms:W3CDTF">2025-11-14T17:52:00Z</dcterms:modified>
</cp:coreProperties>
</file>